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1DC3">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rPr>
      </w:pPr>
      <w:r>
        <w:rPr>
          <w:rFonts w:hint="eastAsia" w:ascii="方正小标宋简体" w:hAnsi="方正小标宋简体" w:eastAsia="方正小标宋简体" w:cs="方正小标宋简体"/>
          <w:b/>
          <w:kern w:val="2"/>
          <w:sz w:val="52"/>
          <w:szCs w:val="52"/>
        </w:rPr>
        <w:t>济南鲍德冶金石灰石有限公司</w:t>
      </w:r>
    </w:p>
    <w:p w14:paraId="428A0822">
      <w:pPr>
        <w:spacing w:line="300" w:lineRule="auto"/>
        <w:jc w:val="center"/>
        <w:rPr>
          <w:rFonts w:hint="eastAsia" w:ascii="方正小标宋简体" w:hAnsi="方正小标宋简体" w:eastAsia="方正小标宋简体" w:cs="方正小标宋简体"/>
          <w:b/>
          <w:bCs/>
          <w:color w:val="000000"/>
          <w:w w:val="90"/>
          <w:sz w:val="44"/>
          <w:szCs w:val="44"/>
        </w:rPr>
      </w:pPr>
      <w:r>
        <w:rPr>
          <w:rFonts w:hint="eastAsia" w:ascii="方正小标宋简体" w:hAnsi="方正小标宋简体" w:eastAsia="方正小标宋简体" w:cs="方正小标宋简体"/>
          <w:b/>
          <w:kern w:val="2"/>
          <w:sz w:val="52"/>
          <w:szCs w:val="52"/>
        </w:rPr>
        <w:t>带式输送机和斗提机采购</w:t>
      </w:r>
    </w:p>
    <w:p w14:paraId="29F806EC">
      <w:pPr>
        <w:spacing w:line="300" w:lineRule="auto"/>
        <w:ind w:firstLine="3182" w:firstLineChars="800"/>
        <w:rPr>
          <w:rFonts w:hint="eastAsia" w:ascii="方正小标宋简体" w:hAnsi="方正小标宋简体" w:eastAsia="方正小标宋简体" w:cs="方正小标宋简体"/>
          <w:b/>
          <w:bCs/>
          <w:color w:val="000000"/>
          <w:w w:val="90"/>
          <w:sz w:val="44"/>
          <w:szCs w:val="44"/>
        </w:rPr>
      </w:pPr>
    </w:p>
    <w:p w14:paraId="46EEE230">
      <w:pPr>
        <w:spacing w:line="300" w:lineRule="auto"/>
        <w:jc w:val="center"/>
        <w:rPr>
          <w:rFonts w:hint="default" w:ascii="方正小标宋简体" w:hAnsi="方正小标宋简体" w:eastAsia="方正小标宋简体" w:cs="方正小标宋简体"/>
          <w:b/>
          <w:bCs/>
          <w:color w:val="000000"/>
          <w:w w:val="90"/>
          <w:sz w:val="44"/>
          <w:szCs w:val="44"/>
          <w:lang w:val="en-US" w:eastAsia="zh-CN"/>
        </w:rPr>
      </w:pPr>
      <w:r>
        <w:rPr>
          <w:rFonts w:hint="eastAsia" w:ascii="方正小标宋简体" w:hAnsi="方正小标宋简体" w:eastAsia="方正小标宋简体" w:cs="方正小标宋简体"/>
          <w:b/>
          <w:bCs/>
          <w:color w:val="000000"/>
          <w:w w:val="90"/>
          <w:sz w:val="44"/>
          <w:szCs w:val="44"/>
          <w:lang w:val="en-US" w:eastAsia="zh-CN"/>
        </w:rPr>
        <w:t>编号：1253251103002</w:t>
      </w:r>
    </w:p>
    <w:p w14:paraId="53F9FF43">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lang w:val="en-US" w:eastAsia="zh-CN"/>
        </w:rPr>
      </w:pPr>
      <w:r>
        <w:rPr>
          <w:rFonts w:hint="eastAsia" w:ascii="方正小标宋简体" w:hAnsi="方正小标宋简体" w:eastAsia="方正小标宋简体" w:cs="方正小标宋简体"/>
          <w:b/>
          <w:kern w:val="2"/>
          <w:sz w:val="52"/>
          <w:szCs w:val="52"/>
        </w:rPr>
        <w:t>竞争性谈判</w:t>
      </w:r>
      <w:r>
        <w:rPr>
          <w:rFonts w:hint="eastAsia" w:ascii="方正小标宋简体" w:hAnsi="方正小标宋简体" w:eastAsia="方正小标宋简体" w:cs="方正小标宋简体"/>
          <w:b/>
          <w:kern w:val="2"/>
          <w:sz w:val="52"/>
          <w:szCs w:val="52"/>
          <w:lang w:val="en-US" w:eastAsia="zh-CN"/>
        </w:rPr>
        <w:t>公告</w:t>
      </w:r>
    </w:p>
    <w:p w14:paraId="7D3EF836">
      <w:pPr>
        <w:spacing w:line="300" w:lineRule="auto"/>
        <w:jc w:val="center"/>
        <w:rPr>
          <w:rFonts w:hint="eastAsia" w:ascii="方正小标宋简体" w:hAnsi="方正小标宋简体" w:eastAsia="方正小标宋简体" w:cs="方正小标宋简体"/>
          <w:b/>
          <w:bCs/>
          <w:color w:val="000000"/>
          <w:w w:val="90"/>
          <w:sz w:val="44"/>
          <w:szCs w:val="44"/>
        </w:rPr>
      </w:pPr>
    </w:p>
    <w:p w14:paraId="31061A2A">
      <w:pPr>
        <w:spacing w:line="300" w:lineRule="auto"/>
        <w:ind w:firstLine="6401" w:firstLineChars="1449"/>
        <w:rPr>
          <w:rFonts w:hint="eastAsia" w:ascii="方正小标宋简体" w:hAnsi="方正小标宋简体" w:eastAsia="方正小标宋简体" w:cs="方正小标宋简体"/>
          <w:b/>
          <w:color w:val="000000"/>
          <w:sz w:val="44"/>
          <w:szCs w:val="44"/>
        </w:rPr>
      </w:pPr>
    </w:p>
    <w:p w14:paraId="19321C98">
      <w:pPr>
        <w:spacing w:line="300" w:lineRule="auto"/>
        <w:ind w:firstLine="5288" w:firstLineChars="1646"/>
        <w:rPr>
          <w:rFonts w:hint="eastAsia" w:ascii="方正小标宋简体" w:hAnsi="方正小标宋简体" w:eastAsia="方正小标宋简体" w:cs="方正小标宋简体"/>
          <w:b/>
          <w:color w:val="000000"/>
          <w:sz w:val="32"/>
          <w:szCs w:val="32"/>
          <w:u w:val="single"/>
        </w:rPr>
      </w:pPr>
    </w:p>
    <w:p w14:paraId="3CC5389E">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4DFEE74F">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494360E8">
      <w:pPr>
        <w:spacing w:line="300" w:lineRule="auto"/>
        <w:ind w:firstLine="560" w:firstLineChars="200"/>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28"/>
          <w:szCs w:val="28"/>
        </w:rPr>
        <w:t xml:space="preserve">   </w:t>
      </w:r>
      <w:r>
        <w:rPr>
          <w:rFonts w:hint="eastAsia" w:ascii="方正小标宋简体" w:hAnsi="方正小标宋简体" w:eastAsia="方正小标宋简体" w:cs="方正小标宋简体"/>
          <w:bCs/>
          <w:color w:val="000000"/>
          <w:sz w:val="32"/>
          <w:szCs w:val="32"/>
        </w:rPr>
        <w:t xml:space="preserve">    采购人：济南鲍德冶金石灰石有限公司 </w:t>
      </w:r>
    </w:p>
    <w:p w14:paraId="32E86524">
      <w:pPr>
        <w:pStyle w:val="9"/>
        <w:spacing w:line="300" w:lineRule="auto"/>
        <w:jc w:val="center"/>
        <w:rPr>
          <w:rFonts w:hint="eastAsia" w:ascii="方正小标宋简体" w:hAnsi="方正小标宋简体" w:eastAsia="方正小标宋简体" w:cs="方正小标宋简体"/>
          <w:bCs/>
          <w:color w:val="000000"/>
          <w:spacing w:val="28"/>
          <w:sz w:val="32"/>
          <w:szCs w:val="32"/>
        </w:rPr>
      </w:pPr>
      <w:r>
        <w:rPr>
          <w:rFonts w:hint="eastAsia" w:ascii="方正小标宋简体" w:hAnsi="方正小标宋简体" w:eastAsia="方正小标宋简体" w:cs="方正小标宋简体"/>
          <w:bCs/>
          <w:color w:val="000000"/>
          <w:spacing w:val="28"/>
          <w:sz w:val="32"/>
          <w:szCs w:val="32"/>
        </w:rPr>
        <w:t>2025年</w:t>
      </w:r>
      <w:r>
        <w:rPr>
          <w:rFonts w:hint="eastAsia" w:ascii="方正小标宋简体" w:hAnsi="方正小标宋简体" w:eastAsia="方正小标宋简体" w:cs="方正小标宋简体"/>
          <w:bCs/>
          <w:color w:val="000000"/>
          <w:spacing w:val="28"/>
          <w:sz w:val="32"/>
          <w:szCs w:val="32"/>
          <w:lang w:val="en-US" w:eastAsia="zh-CN"/>
        </w:rPr>
        <w:t>11</w:t>
      </w:r>
      <w:r>
        <w:rPr>
          <w:rFonts w:hint="eastAsia" w:ascii="方正小标宋简体" w:hAnsi="方正小标宋简体" w:eastAsia="方正小标宋简体" w:cs="方正小标宋简体"/>
          <w:bCs/>
          <w:color w:val="000000"/>
          <w:spacing w:val="28"/>
          <w:sz w:val="32"/>
          <w:szCs w:val="32"/>
        </w:rPr>
        <w:t>月</w:t>
      </w:r>
      <w:r>
        <w:rPr>
          <w:rFonts w:hint="eastAsia" w:ascii="方正小标宋简体" w:hAnsi="方正小标宋简体" w:eastAsia="方正小标宋简体" w:cs="方正小标宋简体"/>
          <w:bCs/>
          <w:color w:val="000000"/>
          <w:spacing w:val="28"/>
          <w:sz w:val="32"/>
          <w:szCs w:val="32"/>
          <w:lang w:val="en-US" w:eastAsia="zh-CN"/>
        </w:rPr>
        <w:t>3</w:t>
      </w:r>
      <w:r>
        <w:rPr>
          <w:rFonts w:hint="eastAsia" w:ascii="方正小标宋简体" w:hAnsi="方正小标宋简体" w:eastAsia="方正小标宋简体" w:cs="方正小标宋简体"/>
          <w:bCs/>
          <w:color w:val="000000"/>
          <w:spacing w:val="28"/>
          <w:sz w:val="32"/>
          <w:szCs w:val="32"/>
        </w:rPr>
        <w:t>日</w:t>
      </w:r>
    </w:p>
    <w:p w14:paraId="7D5D9B2A">
      <w:pPr>
        <w:spacing w:line="300" w:lineRule="auto"/>
        <w:rPr>
          <w:rFonts w:hint="eastAsia" w:ascii="方正小标宋简体" w:hAnsi="方正小标宋简体" w:eastAsia="方正小标宋简体" w:cs="方正小标宋简体"/>
          <w:bCs/>
          <w:color w:val="00000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6940246">
      <w:pPr>
        <w:spacing w:line="300" w:lineRule="auto"/>
        <w:jc w:val="center"/>
        <w:rPr>
          <w:rFonts w:hint="eastAsia" w:ascii="黑体" w:hAnsi="黑体" w:eastAsia="黑体"/>
          <w:b/>
          <w:color w:val="000000"/>
          <w:sz w:val="36"/>
          <w:szCs w:val="36"/>
        </w:rPr>
      </w:pPr>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0" w:name="_Toc446434284"/>
      <w:bookmarkEnd w:id="0"/>
      <w:r>
        <w:rPr>
          <w:rFonts w:hint="eastAsia" w:ascii="黑体" w:hAnsi="黑体" w:eastAsia="黑体"/>
          <w:b/>
          <w:color w:val="000000"/>
          <w:sz w:val="36"/>
          <w:szCs w:val="36"/>
        </w:rPr>
        <w:t xml:space="preserve">  竞争性谈判公告</w:t>
      </w:r>
    </w:p>
    <w:p w14:paraId="2E468A76">
      <w:pPr>
        <w:widowControl w:val="0"/>
        <w:spacing w:line="360" w:lineRule="auto"/>
        <w:rPr>
          <w:rFonts w:hint="eastAsia" w:cs="Times New Roman"/>
          <w:b/>
          <w:bCs/>
          <w:kern w:val="2"/>
          <w:szCs w:val="22"/>
        </w:rPr>
      </w:pPr>
      <w:r>
        <w:rPr>
          <w:rFonts w:cs="Times New Roman"/>
          <w:b/>
          <w:bCs/>
          <w:kern w:val="2"/>
          <w:szCs w:val="22"/>
        </w:rPr>
        <w:t>一、</w:t>
      </w:r>
      <w:r>
        <w:rPr>
          <w:rFonts w:hint="eastAsia" w:cs="Times New Roman"/>
          <w:b/>
          <w:bCs/>
          <w:kern w:val="2"/>
          <w:szCs w:val="22"/>
        </w:rPr>
        <w:t>采购</w:t>
      </w:r>
      <w:r>
        <w:rPr>
          <w:rFonts w:cs="Times New Roman"/>
          <w:b/>
          <w:bCs/>
          <w:kern w:val="2"/>
          <w:szCs w:val="22"/>
        </w:rPr>
        <w:t>编号：</w:t>
      </w:r>
      <w:r>
        <w:rPr>
          <w:rFonts w:hint="eastAsia" w:cs="Times New Roman"/>
          <w:b/>
          <w:bCs/>
          <w:kern w:val="2"/>
          <w:szCs w:val="22"/>
        </w:rPr>
        <w:t xml:space="preserve">  </w:t>
      </w:r>
      <w:r>
        <w:rPr>
          <w:rFonts w:hint="eastAsia" w:cs="Times New Roman"/>
          <w:b/>
          <w:bCs/>
          <w:kern w:val="2"/>
          <w:szCs w:val="22"/>
          <w:lang w:val="en-US" w:eastAsia="zh-CN"/>
        </w:rPr>
        <w:t>1253251103002</w:t>
      </w:r>
      <w:r>
        <w:rPr>
          <w:rFonts w:hint="eastAsia" w:cs="Times New Roman"/>
          <w:b/>
          <w:bCs/>
          <w:kern w:val="2"/>
          <w:szCs w:val="22"/>
        </w:rPr>
        <w:t xml:space="preserve"> </w:t>
      </w:r>
    </w:p>
    <w:p w14:paraId="60E39657">
      <w:pPr>
        <w:widowControl w:val="0"/>
        <w:spacing w:line="360" w:lineRule="auto"/>
        <w:rPr>
          <w:rFonts w:hint="eastAsia" w:cs="Times New Roman"/>
          <w:b/>
          <w:bCs/>
          <w:kern w:val="2"/>
          <w:szCs w:val="22"/>
        </w:rPr>
      </w:pPr>
      <w:r>
        <w:rPr>
          <w:rFonts w:cs="Times New Roman"/>
          <w:b/>
          <w:bCs/>
          <w:kern w:val="2"/>
          <w:szCs w:val="22"/>
        </w:rPr>
        <w:t>二、</w:t>
      </w:r>
      <w:r>
        <w:rPr>
          <w:rFonts w:hint="eastAsia" w:cs="Times New Roman"/>
          <w:b/>
          <w:bCs/>
          <w:kern w:val="2"/>
          <w:szCs w:val="22"/>
        </w:rPr>
        <w:t>采购项目</w:t>
      </w:r>
      <w:r>
        <w:rPr>
          <w:rFonts w:cs="Times New Roman"/>
          <w:b/>
          <w:bCs/>
          <w:kern w:val="2"/>
          <w:szCs w:val="22"/>
        </w:rPr>
        <w:t>名称：</w:t>
      </w:r>
      <w:r>
        <w:rPr>
          <w:rFonts w:hint="eastAsia" w:cs="Times New Roman"/>
          <w:b/>
          <w:bCs/>
          <w:kern w:val="2"/>
          <w:szCs w:val="22"/>
        </w:rPr>
        <w:t>济南鲍德冶金石灰石有限公司带式输送机和斗提机采购</w:t>
      </w:r>
    </w:p>
    <w:p w14:paraId="37E4EF36">
      <w:pPr>
        <w:pStyle w:val="2"/>
        <w:spacing w:after="0" w:line="360" w:lineRule="auto"/>
        <w:ind w:left="0" w:leftChars="0" w:firstLine="0" w:firstLineChars="0"/>
        <w:jc w:val="left"/>
        <w:rPr>
          <w:b/>
          <w:bCs/>
          <w:kern w:val="2"/>
          <w:szCs w:val="22"/>
        </w:rPr>
      </w:pPr>
      <w:r>
        <w:rPr>
          <w:b/>
          <w:bCs/>
          <w:kern w:val="2"/>
          <w:szCs w:val="22"/>
        </w:rPr>
        <w:t>三、</w:t>
      </w:r>
      <w:r>
        <w:rPr>
          <w:rFonts w:hint="eastAsia"/>
          <w:b/>
          <w:bCs/>
          <w:kern w:val="2"/>
          <w:szCs w:val="22"/>
        </w:rPr>
        <w:t>项目概况：</w:t>
      </w:r>
    </w:p>
    <w:p w14:paraId="5A2547AD">
      <w:pPr>
        <w:pStyle w:val="2"/>
        <w:spacing w:after="0" w:line="360" w:lineRule="auto"/>
        <w:ind w:left="0" w:leftChars="0" w:firstLine="240" w:firstLineChars="100"/>
        <w:jc w:val="left"/>
        <w:rPr>
          <w:rFonts w:hint="eastAsia"/>
          <w:kern w:val="2"/>
          <w:szCs w:val="22"/>
        </w:rPr>
      </w:pPr>
      <w:r>
        <w:rPr>
          <w:rFonts w:hint="eastAsia"/>
          <w:kern w:val="2"/>
          <w:szCs w:val="22"/>
        </w:rPr>
        <w:t>1、采购内容：</w:t>
      </w:r>
    </w:p>
    <w:tbl>
      <w:tblPr>
        <w:tblStyle w:val="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2835"/>
        <w:gridCol w:w="708"/>
        <w:gridCol w:w="709"/>
        <w:gridCol w:w="1276"/>
        <w:gridCol w:w="992"/>
        <w:gridCol w:w="1134"/>
      </w:tblGrid>
      <w:tr w14:paraId="1A0C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188D8607">
            <w:pPr>
              <w:jc w:val="center"/>
              <w:rPr>
                <w:rFonts w:hint="eastAsia" w:ascii="仿宋_GB2312" w:hAnsi="等线" w:eastAsia="仿宋_GB2312"/>
                <w:color w:val="000000"/>
                <w:sz w:val="21"/>
                <w:szCs w:val="21"/>
              </w:rPr>
            </w:pPr>
            <w:bookmarkStart w:id="1" w:name="_Hlk199402184"/>
            <w:r>
              <w:rPr>
                <w:rFonts w:hint="eastAsia" w:ascii="仿宋_GB2312" w:hAnsi="等线" w:eastAsia="仿宋_GB2312"/>
                <w:color w:val="000000"/>
                <w:sz w:val="21"/>
                <w:szCs w:val="21"/>
              </w:rPr>
              <w:t>序号</w:t>
            </w:r>
          </w:p>
        </w:tc>
        <w:tc>
          <w:tcPr>
            <w:tcW w:w="993" w:type="dxa"/>
            <w:noWrap/>
            <w:vAlign w:val="center"/>
          </w:tcPr>
          <w:p w14:paraId="431648BE">
            <w:pPr>
              <w:jc w:val="center"/>
              <w:rPr>
                <w:rFonts w:ascii="仿宋_GB2312" w:hAnsi="等线" w:eastAsia="仿宋_GB2312"/>
                <w:color w:val="000000"/>
                <w:sz w:val="21"/>
                <w:szCs w:val="21"/>
              </w:rPr>
            </w:pPr>
            <w:r>
              <w:rPr>
                <w:rFonts w:hint="eastAsia" w:ascii="仿宋_GB2312" w:hAnsi="等线" w:eastAsia="仿宋_GB2312"/>
                <w:color w:val="000000"/>
                <w:sz w:val="21"/>
                <w:szCs w:val="21"/>
              </w:rPr>
              <w:t>物资</w:t>
            </w:r>
          </w:p>
          <w:p w14:paraId="5442753C">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名称</w:t>
            </w:r>
          </w:p>
        </w:tc>
        <w:tc>
          <w:tcPr>
            <w:tcW w:w="2835" w:type="dxa"/>
            <w:noWrap/>
            <w:vAlign w:val="center"/>
          </w:tcPr>
          <w:p w14:paraId="767BC875">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参考规格型号及配置</w:t>
            </w:r>
          </w:p>
        </w:tc>
        <w:tc>
          <w:tcPr>
            <w:tcW w:w="708" w:type="dxa"/>
            <w:noWrap/>
            <w:vAlign w:val="center"/>
          </w:tcPr>
          <w:p w14:paraId="38D0346A">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单位</w:t>
            </w:r>
          </w:p>
        </w:tc>
        <w:tc>
          <w:tcPr>
            <w:tcW w:w="709" w:type="dxa"/>
            <w:noWrap/>
            <w:vAlign w:val="center"/>
          </w:tcPr>
          <w:p w14:paraId="3AB23433">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数量</w:t>
            </w:r>
          </w:p>
        </w:tc>
        <w:tc>
          <w:tcPr>
            <w:tcW w:w="1276" w:type="dxa"/>
            <w:noWrap w:val="0"/>
            <w:vAlign w:val="center"/>
          </w:tcPr>
          <w:p w14:paraId="123CF98B">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使用地点</w:t>
            </w:r>
          </w:p>
        </w:tc>
        <w:tc>
          <w:tcPr>
            <w:tcW w:w="992" w:type="dxa"/>
            <w:noWrap w:val="0"/>
            <w:vAlign w:val="center"/>
          </w:tcPr>
          <w:p w14:paraId="5A425BDB">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备注</w:t>
            </w:r>
          </w:p>
        </w:tc>
        <w:tc>
          <w:tcPr>
            <w:tcW w:w="1134" w:type="dxa"/>
            <w:noWrap w:val="0"/>
            <w:vAlign w:val="center"/>
          </w:tcPr>
          <w:p w14:paraId="518A0612">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是否允许代理商</w:t>
            </w:r>
          </w:p>
        </w:tc>
      </w:tr>
      <w:tr w14:paraId="20AD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270D2B48">
            <w:pPr>
              <w:ind w:right="880"/>
              <w:jc w:val="center"/>
              <w:rPr>
                <w:rFonts w:hint="eastAsia" w:ascii="仿宋_GB2312" w:hAnsi="等线" w:eastAsia="仿宋_GB2312"/>
                <w:color w:val="000000"/>
                <w:sz w:val="21"/>
                <w:szCs w:val="21"/>
              </w:rPr>
            </w:pPr>
            <w:bookmarkStart w:id="2" w:name="_Hlk208062307"/>
            <w:r>
              <w:rPr>
                <w:rFonts w:hint="eastAsia" w:ascii="仿宋_GB2312" w:hAnsi="等线" w:eastAsia="仿宋_GB2312"/>
                <w:color w:val="000000"/>
                <w:sz w:val="21"/>
                <w:szCs w:val="21"/>
              </w:rPr>
              <w:t>1</w:t>
            </w:r>
          </w:p>
        </w:tc>
        <w:tc>
          <w:tcPr>
            <w:tcW w:w="993" w:type="dxa"/>
            <w:noWrap/>
            <w:vAlign w:val="center"/>
          </w:tcPr>
          <w:p w14:paraId="4E69E342">
            <w:pPr>
              <w:jc w:val="center"/>
              <w:rPr>
                <w:rFonts w:hint="eastAsia" w:ascii="仿宋_GB2312" w:eastAsia="仿宋_GB2312"/>
                <w:color w:val="000000"/>
                <w:sz w:val="21"/>
                <w:szCs w:val="21"/>
              </w:rPr>
            </w:pPr>
            <w:r>
              <w:rPr>
                <w:rFonts w:hint="eastAsia" w:ascii="仿宋_GB2312" w:eastAsia="仿宋_GB2312" w:cs="Times New Roman"/>
                <w:bCs/>
                <w:kern w:val="2"/>
                <w:sz w:val="21"/>
                <w:szCs w:val="21"/>
              </w:rPr>
              <w:t>带式输送机</w:t>
            </w:r>
          </w:p>
        </w:tc>
        <w:tc>
          <w:tcPr>
            <w:tcW w:w="2835" w:type="dxa"/>
            <w:noWrap/>
            <w:vAlign w:val="center"/>
          </w:tcPr>
          <w:p w14:paraId="62BC7D27">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hAnsi="微软雅黑" w:eastAsia="仿宋_GB2312" w:cs="宋体"/>
                <w:color w:val="000000"/>
                <w:sz w:val="21"/>
                <w:szCs w:val="21"/>
              </w:rPr>
              <w:t>TD75型带式输送机B650-6m/18°（内置包胶电动滚筒4065*7.5kw，EP200尼龙带650*4（4.5+1.5））</w:t>
            </w:r>
          </w:p>
        </w:tc>
        <w:tc>
          <w:tcPr>
            <w:tcW w:w="708" w:type="dxa"/>
            <w:noWrap/>
            <w:vAlign w:val="center"/>
          </w:tcPr>
          <w:p w14:paraId="4D309FB9">
            <w:pPr>
              <w:jc w:val="center"/>
              <w:rPr>
                <w:rFonts w:hint="eastAsia" w:ascii="仿宋_GB2312" w:hAnsi="等线" w:eastAsia="仿宋_GB2312"/>
                <w:color w:val="000000"/>
                <w:sz w:val="21"/>
                <w:szCs w:val="21"/>
              </w:rPr>
            </w:pPr>
            <w:r>
              <w:rPr>
                <w:rFonts w:hint="eastAsia" w:ascii="仿宋_GB2312" w:eastAsia="仿宋_GB2312"/>
                <w:color w:val="000000"/>
                <w:sz w:val="21"/>
                <w:szCs w:val="21"/>
                <w:lang w:bidi="ar"/>
              </w:rPr>
              <w:t>台</w:t>
            </w:r>
          </w:p>
        </w:tc>
        <w:tc>
          <w:tcPr>
            <w:tcW w:w="709" w:type="dxa"/>
            <w:noWrap/>
            <w:vAlign w:val="center"/>
          </w:tcPr>
          <w:p w14:paraId="7D691A6A">
            <w:pPr>
              <w:jc w:val="center"/>
              <w:rPr>
                <w:rFonts w:hint="eastAsia" w:ascii="仿宋_GB2312" w:hAnsi="等线" w:eastAsia="仿宋_GB2312"/>
                <w:color w:val="000000"/>
                <w:sz w:val="21"/>
                <w:szCs w:val="21"/>
              </w:rPr>
            </w:pPr>
            <w:r>
              <w:rPr>
                <w:rFonts w:hint="eastAsia" w:ascii="仿宋_GB2312" w:eastAsia="仿宋_GB2312"/>
                <w:color w:val="000000"/>
                <w:sz w:val="21"/>
                <w:szCs w:val="21"/>
              </w:rPr>
              <w:t>1</w:t>
            </w:r>
          </w:p>
        </w:tc>
        <w:tc>
          <w:tcPr>
            <w:tcW w:w="1276" w:type="dxa"/>
            <w:vMerge w:val="restart"/>
            <w:noWrap w:val="0"/>
            <w:vAlign w:val="center"/>
          </w:tcPr>
          <w:p w14:paraId="63AF39C0">
            <w:pPr>
              <w:jc w:val="center"/>
              <w:rPr>
                <w:rFonts w:hint="eastAsia" w:ascii="仿宋_GB2312" w:hAnsi="等线" w:eastAsia="仿宋_GB2312"/>
                <w:color w:val="000000"/>
                <w:sz w:val="21"/>
                <w:szCs w:val="21"/>
              </w:rPr>
            </w:pPr>
            <w:bookmarkStart w:id="3" w:name="OLE_LINK1"/>
            <w:r>
              <w:rPr>
                <w:rFonts w:hint="eastAsia" w:ascii="仿宋_GB2312" w:hAnsi="等线" w:eastAsia="仿宋_GB2312"/>
                <w:color w:val="000000"/>
                <w:sz w:val="21"/>
                <w:szCs w:val="21"/>
              </w:rPr>
              <w:t>济南市章丘区埠村街道翟家庄村南1.5KM</w:t>
            </w:r>
            <w:bookmarkEnd w:id="3"/>
            <w:r>
              <w:rPr>
                <w:rFonts w:hint="eastAsia" w:ascii="仿宋_GB2312" w:hAnsi="等线" w:eastAsia="仿宋_GB2312"/>
                <w:color w:val="000000"/>
                <w:sz w:val="21"/>
                <w:szCs w:val="21"/>
              </w:rPr>
              <w:t>济南鲍德冶金石灰石有限公司</w:t>
            </w:r>
          </w:p>
        </w:tc>
        <w:tc>
          <w:tcPr>
            <w:tcW w:w="992" w:type="dxa"/>
            <w:vMerge w:val="restart"/>
            <w:noWrap w:val="0"/>
            <w:vAlign w:val="center"/>
          </w:tcPr>
          <w:p w14:paraId="75A604B6">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详见技术规格书</w:t>
            </w:r>
          </w:p>
        </w:tc>
        <w:tc>
          <w:tcPr>
            <w:tcW w:w="1134" w:type="dxa"/>
            <w:vMerge w:val="restart"/>
            <w:noWrap w:val="0"/>
            <w:vAlign w:val="center"/>
          </w:tcPr>
          <w:p w14:paraId="36B0B247">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否</w:t>
            </w:r>
          </w:p>
          <w:p w14:paraId="0DA5B3C8">
            <w:pPr>
              <w:jc w:val="center"/>
              <w:rPr>
                <w:rFonts w:hint="eastAsia" w:ascii="仿宋_GB2312" w:hAnsi="等线" w:eastAsia="仿宋_GB2312"/>
                <w:color w:val="000000"/>
                <w:sz w:val="21"/>
                <w:szCs w:val="21"/>
              </w:rPr>
            </w:pPr>
          </w:p>
        </w:tc>
      </w:tr>
      <w:tr w14:paraId="659E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706C1D4D">
            <w:pPr>
              <w:ind w:right="880"/>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2</w:t>
            </w:r>
          </w:p>
        </w:tc>
        <w:tc>
          <w:tcPr>
            <w:tcW w:w="993" w:type="dxa"/>
            <w:noWrap/>
            <w:vAlign w:val="center"/>
          </w:tcPr>
          <w:p w14:paraId="4BE6300F">
            <w:pPr>
              <w:jc w:val="center"/>
              <w:rPr>
                <w:rFonts w:hint="eastAsia" w:ascii="仿宋_GB2312" w:eastAsia="仿宋_GB2312" w:cs="Times New Roman"/>
                <w:bCs/>
                <w:kern w:val="2"/>
                <w:sz w:val="21"/>
                <w:szCs w:val="21"/>
              </w:rPr>
            </w:pPr>
            <w:r>
              <w:rPr>
                <w:rFonts w:hint="eastAsia" w:ascii="仿宋_GB2312" w:eastAsia="仿宋_GB2312" w:cs="Times New Roman"/>
                <w:bCs/>
                <w:kern w:val="2"/>
                <w:sz w:val="21"/>
                <w:szCs w:val="21"/>
              </w:rPr>
              <w:t>带式输送机</w:t>
            </w:r>
          </w:p>
        </w:tc>
        <w:tc>
          <w:tcPr>
            <w:tcW w:w="2835" w:type="dxa"/>
            <w:noWrap/>
            <w:vAlign w:val="top"/>
          </w:tcPr>
          <w:p w14:paraId="43AC16F7">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eastAsia="仿宋_GB2312"/>
                <w:sz w:val="21"/>
                <w:szCs w:val="21"/>
              </w:rPr>
              <w:t>TD75型带式输送机B650-11m/18°（内置包胶电动滚筒4065*7.5kw，EP200尼龙带650*4（4.5+1.5））</w:t>
            </w:r>
          </w:p>
        </w:tc>
        <w:tc>
          <w:tcPr>
            <w:tcW w:w="708" w:type="dxa"/>
            <w:noWrap/>
            <w:vAlign w:val="center"/>
          </w:tcPr>
          <w:p w14:paraId="1B19A273">
            <w:pPr>
              <w:jc w:val="center"/>
              <w:rPr>
                <w:rFonts w:hint="eastAsia" w:ascii="仿宋_GB2312" w:eastAsia="仿宋_GB2312"/>
                <w:color w:val="000000"/>
                <w:sz w:val="21"/>
                <w:szCs w:val="21"/>
                <w:lang w:bidi="ar"/>
              </w:rPr>
            </w:pPr>
            <w:r>
              <w:rPr>
                <w:rFonts w:hint="eastAsia" w:ascii="仿宋_GB2312" w:eastAsia="仿宋_GB2312"/>
                <w:color w:val="000000"/>
                <w:sz w:val="21"/>
                <w:szCs w:val="21"/>
                <w:lang w:bidi="ar"/>
              </w:rPr>
              <w:t>台</w:t>
            </w:r>
          </w:p>
        </w:tc>
        <w:tc>
          <w:tcPr>
            <w:tcW w:w="709" w:type="dxa"/>
            <w:noWrap/>
            <w:vAlign w:val="center"/>
          </w:tcPr>
          <w:p w14:paraId="2F4BF0DF">
            <w:pPr>
              <w:jc w:val="center"/>
              <w:rPr>
                <w:rFonts w:hint="eastAsia" w:ascii="仿宋_GB2312" w:eastAsia="仿宋_GB2312"/>
                <w:color w:val="000000"/>
                <w:sz w:val="21"/>
                <w:szCs w:val="21"/>
              </w:rPr>
            </w:pPr>
            <w:r>
              <w:rPr>
                <w:rFonts w:hint="eastAsia" w:ascii="仿宋_GB2312" w:eastAsia="仿宋_GB2312"/>
                <w:color w:val="000000"/>
                <w:sz w:val="21"/>
                <w:szCs w:val="21"/>
              </w:rPr>
              <w:t>1</w:t>
            </w:r>
          </w:p>
        </w:tc>
        <w:tc>
          <w:tcPr>
            <w:tcW w:w="1276" w:type="dxa"/>
            <w:vMerge w:val="continue"/>
            <w:noWrap w:val="0"/>
            <w:vAlign w:val="center"/>
          </w:tcPr>
          <w:p w14:paraId="473A888D">
            <w:pPr>
              <w:rPr>
                <w:rFonts w:hint="eastAsia" w:ascii="仿宋_GB2312" w:hAnsi="等线" w:eastAsia="仿宋_GB2312"/>
                <w:color w:val="000000"/>
                <w:sz w:val="21"/>
                <w:szCs w:val="21"/>
              </w:rPr>
            </w:pPr>
          </w:p>
        </w:tc>
        <w:tc>
          <w:tcPr>
            <w:tcW w:w="992" w:type="dxa"/>
            <w:vMerge w:val="continue"/>
            <w:noWrap w:val="0"/>
            <w:vAlign w:val="top"/>
          </w:tcPr>
          <w:p w14:paraId="18B6CA54">
            <w:pPr>
              <w:rPr>
                <w:rFonts w:hint="eastAsia" w:ascii="仿宋_GB2312" w:hAnsi="等线" w:eastAsia="仿宋_GB2312"/>
                <w:color w:val="000000"/>
                <w:sz w:val="21"/>
                <w:szCs w:val="21"/>
              </w:rPr>
            </w:pPr>
          </w:p>
        </w:tc>
        <w:tc>
          <w:tcPr>
            <w:tcW w:w="1134" w:type="dxa"/>
            <w:vMerge w:val="continue"/>
            <w:noWrap w:val="0"/>
            <w:vAlign w:val="top"/>
          </w:tcPr>
          <w:p w14:paraId="31831E1A">
            <w:pPr>
              <w:rPr>
                <w:rFonts w:hint="eastAsia" w:ascii="仿宋_GB2312" w:hAnsi="等线" w:eastAsia="仿宋_GB2312"/>
                <w:color w:val="000000"/>
                <w:sz w:val="21"/>
                <w:szCs w:val="21"/>
              </w:rPr>
            </w:pPr>
          </w:p>
        </w:tc>
      </w:tr>
      <w:tr w14:paraId="70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4411EFCE">
            <w:pPr>
              <w:ind w:right="880"/>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3</w:t>
            </w:r>
          </w:p>
        </w:tc>
        <w:tc>
          <w:tcPr>
            <w:tcW w:w="993" w:type="dxa"/>
            <w:noWrap/>
            <w:vAlign w:val="center"/>
          </w:tcPr>
          <w:p w14:paraId="6ED1F497">
            <w:pPr>
              <w:jc w:val="center"/>
              <w:rPr>
                <w:rFonts w:hint="eastAsia" w:ascii="仿宋_GB2312" w:eastAsia="仿宋_GB2312" w:cs="Times New Roman"/>
                <w:bCs/>
                <w:kern w:val="2"/>
                <w:sz w:val="21"/>
                <w:szCs w:val="21"/>
              </w:rPr>
            </w:pPr>
            <w:r>
              <w:rPr>
                <w:rFonts w:hint="eastAsia" w:ascii="仿宋_GB2312" w:eastAsia="仿宋_GB2312" w:cs="Times New Roman"/>
                <w:bCs/>
                <w:kern w:val="2"/>
                <w:sz w:val="21"/>
                <w:szCs w:val="21"/>
              </w:rPr>
              <w:t>带式输送机</w:t>
            </w:r>
          </w:p>
        </w:tc>
        <w:tc>
          <w:tcPr>
            <w:tcW w:w="2835" w:type="dxa"/>
            <w:noWrap/>
            <w:vAlign w:val="top"/>
          </w:tcPr>
          <w:p w14:paraId="7C232AEA">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eastAsia="仿宋_GB2312"/>
                <w:sz w:val="21"/>
                <w:szCs w:val="21"/>
              </w:rPr>
              <w:t>TD75型带式输送机B650-25m/14°（内置包胶电动滚筒4065*11kw，EP200尼龙带650*4（4.5+1.5））（部分皮带机架为非标件，需定制）</w:t>
            </w:r>
          </w:p>
        </w:tc>
        <w:tc>
          <w:tcPr>
            <w:tcW w:w="708" w:type="dxa"/>
            <w:noWrap/>
            <w:vAlign w:val="center"/>
          </w:tcPr>
          <w:p w14:paraId="55400157">
            <w:pPr>
              <w:jc w:val="center"/>
              <w:rPr>
                <w:rFonts w:hint="eastAsia" w:ascii="仿宋_GB2312" w:eastAsia="仿宋_GB2312"/>
                <w:color w:val="000000"/>
                <w:sz w:val="21"/>
                <w:szCs w:val="21"/>
                <w:lang w:bidi="ar"/>
              </w:rPr>
            </w:pPr>
            <w:r>
              <w:rPr>
                <w:rFonts w:hint="eastAsia" w:ascii="仿宋_GB2312" w:eastAsia="仿宋_GB2312"/>
                <w:color w:val="000000"/>
                <w:sz w:val="21"/>
                <w:szCs w:val="21"/>
                <w:lang w:bidi="ar"/>
              </w:rPr>
              <w:t>台</w:t>
            </w:r>
          </w:p>
        </w:tc>
        <w:tc>
          <w:tcPr>
            <w:tcW w:w="709" w:type="dxa"/>
            <w:noWrap/>
            <w:vAlign w:val="center"/>
          </w:tcPr>
          <w:p w14:paraId="56F23A08">
            <w:pPr>
              <w:jc w:val="center"/>
              <w:rPr>
                <w:rFonts w:hint="eastAsia" w:ascii="仿宋_GB2312" w:eastAsia="仿宋_GB2312"/>
                <w:color w:val="000000"/>
                <w:sz w:val="21"/>
                <w:szCs w:val="21"/>
              </w:rPr>
            </w:pPr>
            <w:r>
              <w:rPr>
                <w:rFonts w:hint="eastAsia" w:ascii="仿宋_GB2312" w:eastAsia="仿宋_GB2312"/>
                <w:color w:val="000000"/>
                <w:sz w:val="21"/>
                <w:szCs w:val="21"/>
              </w:rPr>
              <w:t>1</w:t>
            </w:r>
          </w:p>
        </w:tc>
        <w:tc>
          <w:tcPr>
            <w:tcW w:w="1276" w:type="dxa"/>
            <w:vMerge w:val="continue"/>
            <w:noWrap w:val="0"/>
            <w:vAlign w:val="center"/>
          </w:tcPr>
          <w:p w14:paraId="5DB86656">
            <w:pPr>
              <w:rPr>
                <w:rFonts w:hint="eastAsia" w:ascii="仿宋_GB2312" w:hAnsi="等线" w:eastAsia="仿宋_GB2312"/>
                <w:color w:val="000000"/>
                <w:sz w:val="21"/>
                <w:szCs w:val="21"/>
              </w:rPr>
            </w:pPr>
          </w:p>
        </w:tc>
        <w:tc>
          <w:tcPr>
            <w:tcW w:w="992" w:type="dxa"/>
            <w:vMerge w:val="continue"/>
            <w:noWrap w:val="0"/>
            <w:vAlign w:val="top"/>
          </w:tcPr>
          <w:p w14:paraId="0CAAEA28">
            <w:pPr>
              <w:rPr>
                <w:rFonts w:hint="eastAsia" w:ascii="仿宋_GB2312" w:hAnsi="等线" w:eastAsia="仿宋_GB2312"/>
                <w:color w:val="000000"/>
                <w:sz w:val="21"/>
                <w:szCs w:val="21"/>
              </w:rPr>
            </w:pPr>
          </w:p>
        </w:tc>
        <w:tc>
          <w:tcPr>
            <w:tcW w:w="1134" w:type="dxa"/>
            <w:vMerge w:val="continue"/>
            <w:noWrap w:val="0"/>
            <w:vAlign w:val="top"/>
          </w:tcPr>
          <w:p w14:paraId="4BA93188">
            <w:pPr>
              <w:rPr>
                <w:rFonts w:hint="eastAsia" w:ascii="仿宋_GB2312" w:hAnsi="等线" w:eastAsia="仿宋_GB2312"/>
                <w:color w:val="000000"/>
                <w:sz w:val="21"/>
                <w:szCs w:val="21"/>
              </w:rPr>
            </w:pPr>
          </w:p>
        </w:tc>
      </w:tr>
      <w:tr w14:paraId="4AB0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67" w:type="dxa"/>
            <w:noWrap/>
            <w:vAlign w:val="center"/>
          </w:tcPr>
          <w:p w14:paraId="3F59D5DC">
            <w:pPr>
              <w:ind w:right="880"/>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4</w:t>
            </w:r>
          </w:p>
        </w:tc>
        <w:tc>
          <w:tcPr>
            <w:tcW w:w="993" w:type="dxa"/>
            <w:noWrap/>
            <w:vAlign w:val="center"/>
          </w:tcPr>
          <w:p w14:paraId="30396150">
            <w:pPr>
              <w:rPr>
                <w:rFonts w:hint="eastAsia" w:ascii="仿宋_GB2312" w:eastAsia="仿宋_GB2312" w:cs="Times New Roman"/>
                <w:bCs/>
                <w:kern w:val="2"/>
                <w:sz w:val="21"/>
                <w:szCs w:val="21"/>
              </w:rPr>
            </w:pPr>
            <w:r>
              <w:rPr>
                <w:rFonts w:hint="eastAsia" w:ascii="仿宋_GB2312" w:eastAsia="仿宋_GB2312" w:cs="Times New Roman"/>
                <w:bCs/>
                <w:kern w:val="2"/>
                <w:sz w:val="21"/>
                <w:szCs w:val="21"/>
              </w:rPr>
              <w:t>斗提机</w:t>
            </w:r>
          </w:p>
        </w:tc>
        <w:tc>
          <w:tcPr>
            <w:tcW w:w="2835" w:type="dxa"/>
            <w:noWrap/>
            <w:vAlign w:val="center"/>
          </w:tcPr>
          <w:p w14:paraId="28CE1BC8">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hAnsi="微软雅黑" w:eastAsia="仿宋_GB2312" w:cs="宋体"/>
                <w:color w:val="000000"/>
                <w:sz w:val="21"/>
                <w:szCs w:val="21"/>
              </w:rPr>
              <w:t>NE150-9.75/11kW斗提机</w:t>
            </w:r>
          </w:p>
        </w:tc>
        <w:tc>
          <w:tcPr>
            <w:tcW w:w="708" w:type="dxa"/>
            <w:noWrap/>
            <w:vAlign w:val="center"/>
          </w:tcPr>
          <w:p w14:paraId="52EFD93E">
            <w:pPr>
              <w:jc w:val="center"/>
              <w:rPr>
                <w:rFonts w:hint="eastAsia" w:ascii="仿宋_GB2312" w:eastAsia="仿宋_GB2312"/>
                <w:color w:val="000000"/>
                <w:sz w:val="21"/>
                <w:szCs w:val="21"/>
                <w:lang w:bidi="ar"/>
              </w:rPr>
            </w:pPr>
            <w:r>
              <w:rPr>
                <w:rFonts w:hint="eastAsia" w:ascii="仿宋_GB2312" w:eastAsia="仿宋_GB2312"/>
                <w:color w:val="000000"/>
                <w:sz w:val="21"/>
                <w:szCs w:val="21"/>
                <w:lang w:bidi="ar"/>
              </w:rPr>
              <w:t>台</w:t>
            </w:r>
          </w:p>
        </w:tc>
        <w:tc>
          <w:tcPr>
            <w:tcW w:w="709" w:type="dxa"/>
            <w:noWrap/>
            <w:vAlign w:val="center"/>
          </w:tcPr>
          <w:p w14:paraId="6AC131BA">
            <w:pPr>
              <w:jc w:val="center"/>
              <w:rPr>
                <w:rFonts w:hint="eastAsia" w:ascii="仿宋_GB2312" w:eastAsia="仿宋_GB2312"/>
                <w:color w:val="000000"/>
                <w:sz w:val="21"/>
                <w:szCs w:val="21"/>
              </w:rPr>
            </w:pPr>
            <w:r>
              <w:rPr>
                <w:rFonts w:hint="eastAsia" w:ascii="仿宋_GB2312" w:eastAsia="仿宋_GB2312"/>
                <w:color w:val="000000"/>
                <w:sz w:val="21"/>
                <w:szCs w:val="21"/>
              </w:rPr>
              <w:t>1</w:t>
            </w:r>
          </w:p>
        </w:tc>
        <w:tc>
          <w:tcPr>
            <w:tcW w:w="1276" w:type="dxa"/>
            <w:vMerge w:val="continue"/>
            <w:noWrap w:val="0"/>
            <w:vAlign w:val="center"/>
          </w:tcPr>
          <w:p w14:paraId="15190BA5">
            <w:pPr>
              <w:rPr>
                <w:rFonts w:hint="eastAsia" w:ascii="仿宋_GB2312" w:hAnsi="等线" w:eastAsia="仿宋_GB2312"/>
                <w:color w:val="000000"/>
                <w:sz w:val="21"/>
                <w:szCs w:val="21"/>
              </w:rPr>
            </w:pPr>
          </w:p>
        </w:tc>
        <w:tc>
          <w:tcPr>
            <w:tcW w:w="992" w:type="dxa"/>
            <w:vMerge w:val="continue"/>
            <w:noWrap w:val="0"/>
            <w:vAlign w:val="top"/>
          </w:tcPr>
          <w:p w14:paraId="095A65AF">
            <w:pPr>
              <w:rPr>
                <w:rFonts w:hint="eastAsia" w:ascii="仿宋_GB2312" w:hAnsi="等线" w:eastAsia="仿宋_GB2312"/>
                <w:color w:val="000000"/>
                <w:sz w:val="21"/>
                <w:szCs w:val="21"/>
              </w:rPr>
            </w:pPr>
          </w:p>
        </w:tc>
        <w:tc>
          <w:tcPr>
            <w:tcW w:w="1134" w:type="dxa"/>
            <w:vMerge w:val="continue"/>
            <w:noWrap w:val="0"/>
            <w:vAlign w:val="top"/>
          </w:tcPr>
          <w:p w14:paraId="094260E2">
            <w:pPr>
              <w:rPr>
                <w:rFonts w:hint="eastAsia" w:ascii="仿宋_GB2312" w:hAnsi="等线" w:eastAsia="仿宋_GB2312"/>
                <w:color w:val="000000"/>
                <w:sz w:val="21"/>
                <w:szCs w:val="21"/>
              </w:rPr>
            </w:pPr>
          </w:p>
        </w:tc>
      </w:tr>
      <w:bookmarkEnd w:id="1"/>
      <w:bookmarkEnd w:id="2"/>
    </w:tbl>
    <w:p w14:paraId="34CF44D8">
      <w:pPr>
        <w:widowControl w:val="0"/>
        <w:adjustRightInd w:val="0"/>
        <w:snapToGrid w:val="0"/>
        <w:spacing w:line="360" w:lineRule="auto"/>
        <w:ind w:firstLine="241" w:firstLineChars="100"/>
        <w:jc w:val="both"/>
        <w:rPr>
          <w:rFonts w:hint="eastAsia" w:cs="Times New Roman"/>
          <w:b/>
          <w:bCs/>
          <w:color w:val="FF0000"/>
          <w:lang w:val="zh-CN"/>
        </w:rPr>
      </w:pPr>
      <w:r>
        <w:rPr>
          <w:rFonts w:hint="eastAsia" w:cs="Times New Roman"/>
          <w:b/>
          <w:bCs/>
          <w:color w:val="FF0000"/>
          <w:lang w:val="zh-CN"/>
        </w:rPr>
        <w:t>各设备具体的清单明细见技术规格书，谈判文件中提到的品牌或型号仅供参考，为更加直观的说明相应设备/材料的技术标准和要求，投标人应当选择高于或相当于所列品牌或型号档次的技术标准的产品。</w:t>
      </w:r>
    </w:p>
    <w:p w14:paraId="6E3BD116">
      <w:pPr>
        <w:widowControl w:val="0"/>
        <w:adjustRightInd w:val="0"/>
        <w:snapToGrid w:val="0"/>
        <w:spacing w:line="360" w:lineRule="auto"/>
        <w:ind w:firstLine="240" w:firstLineChars="100"/>
        <w:jc w:val="both"/>
        <w:rPr>
          <w:rFonts w:hint="eastAsia" w:cs="Times New Roman"/>
          <w:lang w:val="zh-CN"/>
        </w:rPr>
      </w:pPr>
      <w:r>
        <w:rPr>
          <w:rFonts w:hint="eastAsia" w:cs="Times New Roman"/>
          <w:lang w:val="zh-CN"/>
        </w:rPr>
        <w:t>2、供货周期：自签订合同日始40日内供货。</w:t>
      </w:r>
    </w:p>
    <w:p w14:paraId="1F51E9A9">
      <w:pPr>
        <w:widowControl w:val="0"/>
        <w:adjustRightInd w:val="0"/>
        <w:snapToGrid w:val="0"/>
        <w:spacing w:line="360" w:lineRule="auto"/>
        <w:ind w:firstLine="240" w:firstLineChars="100"/>
        <w:jc w:val="both"/>
        <w:rPr>
          <w:rFonts w:cs="Times New Roman"/>
          <w:lang w:val="zh-CN"/>
        </w:rPr>
      </w:pPr>
      <w:r>
        <w:rPr>
          <w:rFonts w:cs="Times New Roman"/>
          <w:lang w:val="zh-CN"/>
        </w:rPr>
        <w:t>3</w:t>
      </w:r>
      <w:r>
        <w:rPr>
          <w:rFonts w:hint="eastAsia" w:cs="Times New Roman"/>
          <w:lang w:val="zh-CN"/>
        </w:rPr>
        <w:t>、收货地点： 济南市章丘区埠村街道翟家庄村南1.5KM</w:t>
      </w:r>
      <w:r>
        <w:rPr>
          <w:rFonts w:hint="eastAsia" w:cs="Arial Unicode MS"/>
          <w:lang w:val="zh-CN"/>
        </w:rPr>
        <w:t>。</w:t>
      </w:r>
    </w:p>
    <w:p w14:paraId="1CE38479">
      <w:pPr>
        <w:pStyle w:val="2"/>
        <w:adjustRightInd w:val="0"/>
        <w:snapToGrid w:val="0"/>
        <w:spacing w:after="0" w:line="360" w:lineRule="auto"/>
        <w:ind w:left="0" w:leftChars="0" w:firstLine="240" w:firstLineChars="100"/>
        <w:rPr>
          <w:rFonts w:hint="eastAsia" w:ascii="宋体" w:hAnsi="宋体"/>
          <w:lang w:val="zh-CN"/>
        </w:rPr>
      </w:pPr>
      <w:r>
        <w:rPr>
          <w:rFonts w:hint="eastAsia" w:ascii="宋体" w:hAnsi="宋体"/>
          <w:lang w:val="zh-CN"/>
        </w:rPr>
        <w:t>4、质保期：1年，按国家有关规定执行。</w:t>
      </w:r>
    </w:p>
    <w:p w14:paraId="5504302C">
      <w:pPr>
        <w:autoSpaceDE w:val="0"/>
        <w:autoSpaceDN w:val="0"/>
        <w:adjustRightInd w:val="0"/>
        <w:snapToGrid w:val="0"/>
        <w:spacing w:line="360" w:lineRule="auto"/>
        <w:ind w:firstLine="240" w:firstLineChars="100"/>
        <w:rPr>
          <w:rFonts w:cs="Arial Unicode MS"/>
          <w:lang w:val="zh-CN"/>
        </w:rPr>
      </w:pPr>
      <w:r>
        <w:rPr>
          <w:rFonts w:hint="eastAsia" w:cs="Arial Unicode MS"/>
          <w:lang w:val="zh-CN"/>
        </w:rPr>
        <w:t>5、结算及支付方式：承兑汇票或供应链票据支付。所有设备制造完毕，出厂验收合格，并发运至合同指定交货地点后，经双方核实货物数量、名称、规格型号与合同完全一致，检查外表无损伤和缺陷后，甲方支付设备总价款50%的到货款；设备安装调试验收完毕（大约设备到场3个月内），工程竣工验收合格，甲方支付乙方40%的验收款；质保期1年，工程竣工验收1年后，设备运行无质量问题，支付设备总价款10%的质保金。</w:t>
      </w:r>
    </w:p>
    <w:p w14:paraId="48145316">
      <w:pPr>
        <w:pStyle w:val="2"/>
        <w:adjustRightInd w:val="0"/>
        <w:snapToGrid w:val="0"/>
        <w:spacing w:after="0" w:line="360" w:lineRule="auto"/>
        <w:ind w:left="0" w:leftChars="0" w:firstLine="480"/>
        <w:rPr>
          <w:rFonts w:ascii="宋体" w:hAnsi="宋体"/>
          <w:lang w:val="zh-CN"/>
        </w:rPr>
      </w:pPr>
      <w:r>
        <w:rPr>
          <w:rFonts w:hint="eastAsia" w:ascii="宋体" w:hAnsi="宋体"/>
          <w:lang w:val="zh-CN"/>
        </w:rPr>
        <w:t>乙方若要求甲方以现款方式支付，则乙方需要按照付款金额的0.8% (贴现率)返还给甲方，甲方需依法合规按贴息金额向乙方开具增值税专用发票。</w:t>
      </w:r>
      <w:r>
        <w:rPr>
          <w:rFonts w:hint="eastAsia" w:ascii="宋体" w:hAnsi="宋体" w:cs="Arial Unicode MS"/>
          <w:lang w:val="zh-CN"/>
        </w:rPr>
        <w:t>付款前需按照付款节奏开具等额增值税发票。</w:t>
      </w:r>
    </w:p>
    <w:p w14:paraId="3C399AAE">
      <w:pPr>
        <w:autoSpaceDE w:val="0"/>
        <w:autoSpaceDN w:val="0"/>
        <w:adjustRightInd w:val="0"/>
        <w:snapToGrid w:val="0"/>
        <w:spacing w:line="360" w:lineRule="auto"/>
        <w:ind w:firstLine="240" w:firstLineChars="100"/>
        <w:rPr>
          <w:rFonts w:hint="eastAsia" w:cs="Times New Roman"/>
          <w:color w:val="000000"/>
        </w:rPr>
      </w:pPr>
      <w:r>
        <w:rPr>
          <w:rFonts w:hint="eastAsia" w:cs="Times New Roman"/>
          <w:color w:val="000000"/>
        </w:rPr>
        <w:t>6、报价方式：谈判总价（含13%增值税），多轮报价。</w:t>
      </w:r>
    </w:p>
    <w:p w14:paraId="3204BCA2">
      <w:pPr>
        <w:pStyle w:val="2"/>
        <w:adjustRightInd w:val="0"/>
        <w:snapToGrid w:val="0"/>
        <w:spacing w:after="0" w:line="360" w:lineRule="auto"/>
        <w:ind w:left="0" w:leftChars="0" w:firstLine="0" w:firstLineChars="0"/>
        <w:jc w:val="left"/>
        <w:rPr>
          <w:rFonts w:ascii="宋体" w:hAnsi="宋体"/>
          <w:b/>
          <w:bCs/>
          <w:kern w:val="2"/>
          <w:szCs w:val="22"/>
        </w:rPr>
      </w:pPr>
      <w:r>
        <w:rPr>
          <w:rFonts w:ascii="宋体" w:hAnsi="宋体"/>
          <w:b/>
          <w:bCs/>
          <w:kern w:val="2"/>
          <w:szCs w:val="22"/>
        </w:rPr>
        <w:t>四、</w:t>
      </w:r>
      <w:r>
        <w:rPr>
          <w:rFonts w:hint="eastAsia" w:ascii="宋体" w:hAnsi="宋体"/>
          <w:b/>
          <w:bCs/>
          <w:kern w:val="2"/>
          <w:szCs w:val="22"/>
        </w:rPr>
        <w:t>供应商的</w:t>
      </w:r>
      <w:r>
        <w:rPr>
          <w:rFonts w:ascii="宋体" w:hAnsi="宋体"/>
          <w:b/>
          <w:bCs/>
          <w:kern w:val="2"/>
          <w:szCs w:val="22"/>
        </w:rPr>
        <w:t>资格要求</w:t>
      </w:r>
    </w:p>
    <w:p w14:paraId="431A085E">
      <w:pPr>
        <w:adjustRightInd w:val="0"/>
        <w:snapToGrid w:val="0"/>
        <w:spacing w:line="360" w:lineRule="auto"/>
        <w:ind w:firstLine="480" w:firstLineChars="200"/>
        <w:rPr>
          <w:rFonts w:hint="eastAsia" w:cs="Times New Roman"/>
          <w:kern w:val="2"/>
          <w:szCs w:val="22"/>
        </w:rPr>
      </w:pPr>
      <w:r>
        <w:rPr>
          <w:rFonts w:hint="eastAsia" w:cs="Times New Roman"/>
          <w:kern w:val="2"/>
          <w:szCs w:val="22"/>
        </w:rPr>
        <w:t>1.投标人应是在中华人民共和国依法注册的独立法人，必须具有独立订立并履行合同的能力。</w:t>
      </w:r>
    </w:p>
    <w:p w14:paraId="2F86A18A">
      <w:pPr>
        <w:adjustRightInd w:val="0"/>
        <w:snapToGrid w:val="0"/>
        <w:spacing w:line="360" w:lineRule="auto"/>
        <w:ind w:firstLine="480" w:firstLineChars="200"/>
        <w:rPr>
          <w:rFonts w:hint="eastAsia" w:cs="Times New Roman"/>
          <w:kern w:val="2"/>
          <w:szCs w:val="22"/>
        </w:rPr>
      </w:pPr>
      <w:r>
        <w:rPr>
          <w:rFonts w:hint="eastAsia" w:cs="Times New Roman"/>
          <w:kern w:val="2"/>
          <w:szCs w:val="22"/>
        </w:rPr>
        <w:t>2.投标人应具有完善的质量管理、职业健康管理、环境管理体系，在专业技术、设备设施、人员组织、业绩经验等方面具有设计、制造、质量控制、经营管理的相应的资格和能力。</w:t>
      </w:r>
    </w:p>
    <w:p w14:paraId="26AE8571">
      <w:pPr>
        <w:adjustRightInd w:val="0"/>
        <w:snapToGrid w:val="0"/>
        <w:spacing w:line="360" w:lineRule="auto"/>
        <w:ind w:firstLine="480" w:firstLineChars="200"/>
        <w:rPr>
          <w:rFonts w:hint="eastAsia" w:cs="Times New Roman"/>
          <w:kern w:val="2"/>
          <w:szCs w:val="22"/>
        </w:rPr>
      </w:pPr>
      <w:r>
        <w:rPr>
          <w:rFonts w:hint="eastAsia" w:cs="Times New Roman"/>
          <w:kern w:val="2"/>
          <w:szCs w:val="22"/>
        </w:rPr>
        <w:t>3.财务状况良好，提供近3年（自2022至2024年）财务状况表，有依法缴纳税收和社会保障金的良好纪录；具有良好的企业信誉、健全的财务会计制度和履行本项目的财务能力。</w:t>
      </w:r>
    </w:p>
    <w:p w14:paraId="20A89363">
      <w:pPr>
        <w:adjustRightInd w:val="0"/>
        <w:snapToGrid w:val="0"/>
        <w:spacing w:line="360" w:lineRule="auto"/>
        <w:ind w:firstLine="480" w:firstLineChars="200"/>
        <w:rPr>
          <w:rFonts w:hint="eastAsia" w:cs="Times New Roman"/>
          <w:kern w:val="2"/>
          <w:szCs w:val="22"/>
        </w:rPr>
      </w:pPr>
      <w:r>
        <w:rPr>
          <w:rFonts w:hint="eastAsia" w:cs="Times New Roman"/>
          <w:kern w:val="2"/>
          <w:szCs w:val="22"/>
        </w:rPr>
        <w:t>4.企业信誉良好，投标人未被列入失信被执行人名单，应提供在信用中国查询的法人和非法人组织公共信用信息报告；</w:t>
      </w:r>
    </w:p>
    <w:p w14:paraId="55A652F0">
      <w:pPr>
        <w:adjustRightInd w:val="0"/>
        <w:snapToGrid w:val="0"/>
        <w:spacing w:line="360" w:lineRule="auto"/>
        <w:ind w:firstLine="480" w:firstLineChars="200"/>
        <w:rPr>
          <w:rFonts w:hint="eastAsia" w:cs="Times New Roman"/>
          <w:kern w:val="2"/>
          <w:szCs w:val="22"/>
        </w:rPr>
      </w:pPr>
      <w:r>
        <w:rPr>
          <w:rFonts w:hint="eastAsia" w:cs="Times New Roman"/>
          <w:kern w:val="2"/>
          <w:szCs w:val="22"/>
        </w:rPr>
        <w:t>5. 自2022年1月1日以来有与投标相同或类似型号的销售业绩，提供合同原件或复印件并盖公章。</w:t>
      </w:r>
    </w:p>
    <w:p w14:paraId="43C2086B">
      <w:pPr>
        <w:adjustRightInd w:val="0"/>
        <w:snapToGrid w:val="0"/>
        <w:spacing w:line="360" w:lineRule="auto"/>
        <w:ind w:firstLine="480" w:firstLineChars="200"/>
        <w:rPr>
          <w:rFonts w:hint="eastAsia" w:cs="Times New Roman"/>
          <w:kern w:val="2"/>
          <w:szCs w:val="22"/>
        </w:rPr>
      </w:pPr>
      <w:r>
        <w:rPr>
          <w:rFonts w:hint="eastAsia" w:cs="Times New Roman"/>
          <w:kern w:val="2"/>
          <w:szCs w:val="22"/>
        </w:rPr>
        <w:t>6.公司实力强，设备质量可靠，有完善的售前、售后队伍，提供售后服务机构及人员配置情况的说明。</w:t>
      </w:r>
    </w:p>
    <w:p w14:paraId="0A9322DF">
      <w:pPr>
        <w:adjustRightInd w:val="0"/>
        <w:snapToGrid w:val="0"/>
        <w:spacing w:line="360" w:lineRule="auto"/>
        <w:ind w:firstLine="480" w:firstLineChars="200"/>
        <w:rPr>
          <w:rFonts w:hint="eastAsia" w:cs="Times New Roman"/>
          <w:kern w:val="2"/>
          <w:szCs w:val="22"/>
        </w:rPr>
      </w:pPr>
      <w:r>
        <w:rPr>
          <w:rFonts w:hint="eastAsia" w:cs="Times New Roman"/>
          <w:kern w:val="2"/>
          <w:szCs w:val="22"/>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01CFA881">
      <w:pPr>
        <w:adjustRightInd w:val="0"/>
        <w:snapToGrid w:val="0"/>
        <w:spacing w:line="360" w:lineRule="auto"/>
        <w:ind w:firstLine="480" w:firstLineChars="200"/>
        <w:rPr>
          <w:rFonts w:hint="eastAsia" w:cs="Times New Roman"/>
          <w:kern w:val="2"/>
          <w:szCs w:val="22"/>
        </w:rPr>
      </w:pPr>
      <w:r>
        <w:rPr>
          <w:rFonts w:hint="eastAsia" w:cs="Times New Roman"/>
          <w:kern w:val="2"/>
          <w:szCs w:val="22"/>
        </w:rPr>
        <w:t>8.具有履行合同必需的设备、专业技术、资质能力（提供营业执照副本；缴纳社保的专业技术人员、培训技师的数量和职业资格证明。</w:t>
      </w:r>
    </w:p>
    <w:p w14:paraId="1BFA6D75">
      <w:pPr>
        <w:adjustRightInd w:val="0"/>
        <w:snapToGrid w:val="0"/>
        <w:spacing w:line="360" w:lineRule="auto"/>
        <w:ind w:firstLine="480" w:firstLineChars="200"/>
        <w:rPr>
          <w:rFonts w:cs="Times New Roman"/>
          <w:kern w:val="2"/>
          <w:szCs w:val="22"/>
        </w:rPr>
      </w:pPr>
      <w:r>
        <w:rPr>
          <w:rFonts w:hint="eastAsia" w:cs="Times New Roman"/>
          <w:kern w:val="2"/>
          <w:szCs w:val="22"/>
        </w:rPr>
        <w:t>9.本次竞争性谈判不接受联合体投标。</w:t>
      </w:r>
    </w:p>
    <w:p w14:paraId="77858B3B">
      <w:pPr>
        <w:adjustRightInd w:val="0"/>
        <w:snapToGrid w:val="0"/>
        <w:spacing w:line="360" w:lineRule="auto"/>
        <w:ind w:firstLine="482" w:firstLineChars="200"/>
        <w:rPr>
          <w:rFonts w:hint="eastAsia"/>
          <w:b/>
          <w:bCs/>
        </w:rPr>
      </w:pPr>
      <w:r>
        <w:rPr>
          <w:rFonts w:hint="eastAsia" w:cs="Times New Roman"/>
          <w:b/>
          <w:bCs/>
          <w:kern w:val="2"/>
          <w:szCs w:val="22"/>
        </w:rPr>
        <w:t>五、</w:t>
      </w:r>
      <w:r>
        <w:rPr>
          <w:rFonts w:hint="eastAsia"/>
          <w:b/>
          <w:bCs/>
        </w:rPr>
        <w:t>公告和报名</w:t>
      </w:r>
    </w:p>
    <w:p w14:paraId="7204D302">
      <w:pPr>
        <w:adjustRightInd w:val="0"/>
        <w:snapToGrid w:val="0"/>
        <w:spacing w:line="360" w:lineRule="auto"/>
        <w:ind w:firstLine="480" w:firstLineChars="200"/>
        <w:rPr>
          <w:rFonts w:hint="eastAsia"/>
        </w:rPr>
      </w:pPr>
      <w:r>
        <w:rPr>
          <w:rFonts w:hint="eastAsia"/>
        </w:rPr>
        <w:t>1、报名方式：通过登录济钢集团有限公司阳光购销平台网上报名，平台网址：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xml:space="preserve">/； </w:t>
      </w:r>
    </w:p>
    <w:p w14:paraId="0E81AA18">
      <w:pPr>
        <w:adjustRightInd w:val="0"/>
        <w:snapToGrid w:val="0"/>
        <w:spacing w:line="360" w:lineRule="auto"/>
        <w:ind w:firstLine="480" w:firstLineChars="200"/>
        <w:rPr>
          <w:rFonts w:hint="eastAsia"/>
        </w:rPr>
      </w:pPr>
      <w:r>
        <w:rPr>
          <w:rFonts w:hint="eastAsia"/>
        </w:rPr>
        <w:t>2、公告和报名时间：</w:t>
      </w:r>
      <w:r>
        <w:rPr>
          <w:rFonts w:hint="eastAsia" w:eastAsia="宋体"/>
        </w:rPr>
        <w:t>2025年11月</w:t>
      </w:r>
      <w:r>
        <w:rPr>
          <w:rFonts w:hint="eastAsia" w:eastAsia="宋体"/>
          <w:lang w:val="en-US" w:eastAsia="zh-CN"/>
        </w:rPr>
        <w:t>3</w:t>
      </w:r>
      <w:r>
        <w:rPr>
          <w:rFonts w:hint="eastAsia" w:eastAsia="宋体"/>
        </w:rPr>
        <w:t>日～2025年11月</w:t>
      </w:r>
      <w:r>
        <w:rPr>
          <w:rFonts w:hint="eastAsia"/>
          <w:lang w:val="en-US" w:eastAsia="zh-CN"/>
        </w:rPr>
        <w:t>10</w:t>
      </w:r>
      <w:r>
        <w:rPr>
          <w:rFonts w:hint="eastAsia" w:eastAsia="宋体"/>
        </w:rPr>
        <w:t>日（</w:t>
      </w:r>
      <w:r>
        <w:rPr>
          <w:rFonts w:hint="eastAsia"/>
        </w:rPr>
        <w:t>北京时间）。</w:t>
      </w:r>
    </w:p>
    <w:p w14:paraId="46AAD2B2">
      <w:pPr>
        <w:adjustRightInd w:val="0"/>
        <w:snapToGrid w:val="0"/>
        <w:spacing w:line="360" w:lineRule="auto"/>
        <w:ind w:firstLine="480" w:firstLineChars="200"/>
        <w:rPr>
          <w:rFonts w:hint="eastAsia"/>
        </w:rPr>
      </w:pPr>
      <w:r>
        <w:rPr>
          <w:rFonts w:hint="eastAsia"/>
        </w:rPr>
        <w:t>六、谈判时间和方式</w:t>
      </w:r>
    </w:p>
    <w:p w14:paraId="61ABDB1E">
      <w:pPr>
        <w:adjustRightInd w:val="0"/>
        <w:snapToGrid w:val="0"/>
        <w:spacing w:line="360" w:lineRule="auto"/>
        <w:ind w:firstLine="480" w:firstLineChars="200"/>
        <w:rPr>
          <w:rFonts w:hint="eastAsia"/>
        </w:rPr>
      </w:pPr>
      <w:r>
        <w:rPr>
          <w:rFonts w:hint="eastAsia"/>
        </w:rPr>
        <w:t>1、谈判时间：2025年11月</w:t>
      </w:r>
      <w:r>
        <w:rPr>
          <w:rFonts w:hint="eastAsia"/>
          <w:lang w:val="en-US" w:eastAsia="zh-CN"/>
        </w:rPr>
        <w:t>11</w:t>
      </w:r>
      <w:r>
        <w:rPr>
          <w:rFonts w:hint="eastAsia"/>
        </w:rPr>
        <w:t>日上午</w:t>
      </w:r>
      <w:r>
        <w:rPr>
          <w:rFonts w:hint="eastAsia"/>
          <w:lang w:val="en-US" w:eastAsia="zh-CN"/>
        </w:rPr>
        <w:t>9</w:t>
      </w:r>
      <w:r>
        <w:rPr>
          <w:rFonts w:hint="eastAsia"/>
        </w:rPr>
        <w:t>：30点；</w:t>
      </w:r>
    </w:p>
    <w:p w14:paraId="3F9601CD">
      <w:pPr>
        <w:widowControl w:val="0"/>
        <w:adjustRightInd w:val="0"/>
        <w:snapToGrid w:val="0"/>
        <w:spacing w:line="360" w:lineRule="auto"/>
        <w:ind w:firstLine="480" w:firstLineChars="200"/>
        <w:rPr>
          <w:rFonts w:cs="Times New Roman"/>
          <w:color w:val="FF0000"/>
          <w:kern w:val="2"/>
          <w:szCs w:val="22"/>
        </w:rPr>
      </w:pPr>
      <w:r>
        <w:rPr>
          <w:rFonts w:cs="Times New Roman"/>
          <w:kern w:val="2"/>
          <w:szCs w:val="22"/>
        </w:rPr>
        <w:t>2、</w:t>
      </w:r>
      <w:r>
        <w:rPr>
          <w:rFonts w:hint="eastAsia"/>
        </w:rPr>
        <w:t>谈判方式：</w:t>
      </w:r>
      <w:r>
        <w:t>现场</w:t>
      </w:r>
      <w:r>
        <w:rPr>
          <w:rFonts w:hint="eastAsia"/>
        </w:rPr>
        <w:t>谈判</w:t>
      </w:r>
    </w:p>
    <w:p w14:paraId="06E3ADC3">
      <w:pPr>
        <w:widowControl w:val="0"/>
        <w:adjustRightInd w:val="0"/>
        <w:snapToGrid w:val="0"/>
        <w:spacing w:line="360" w:lineRule="auto"/>
        <w:rPr>
          <w:rFonts w:cs="Times New Roman"/>
          <w:b/>
          <w:bCs/>
          <w:kern w:val="2"/>
          <w:szCs w:val="22"/>
        </w:rPr>
      </w:pPr>
      <w:r>
        <w:rPr>
          <w:rFonts w:hint="eastAsia"/>
          <w:b/>
          <w:bCs/>
        </w:rPr>
        <w:t xml:space="preserve"> </w:t>
      </w:r>
      <w:r>
        <w:rPr>
          <w:rFonts w:hint="eastAsia" w:cs="Times New Roman"/>
          <w:b/>
          <w:bCs/>
          <w:kern w:val="2"/>
          <w:szCs w:val="22"/>
        </w:rPr>
        <w:t>七</w:t>
      </w:r>
      <w:r>
        <w:rPr>
          <w:rFonts w:cs="Times New Roman"/>
          <w:b/>
          <w:bCs/>
          <w:kern w:val="2"/>
          <w:szCs w:val="22"/>
        </w:rPr>
        <w:t>、</w:t>
      </w:r>
      <w:r>
        <w:rPr>
          <w:rFonts w:hint="eastAsia" w:cs="Times New Roman"/>
          <w:b/>
          <w:bCs/>
          <w:kern w:val="2"/>
          <w:szCs w:val="22"/>
        </w:rPr>
        <w:t>谈判</w:t>
      </w:r>
      <w:r>
        <w:rPr>
          <w:rFonts w:cs="Times New Roman"/>
          <w:b/>
          <w:bCs/>
          <w:kern w:val="2"/>
          <w:szCs w:val="22"/>
        </w:rPr>
        <w:t>保证金：</w:t>
      </w:r>
      <w:r>
        <w:rPr>
          <w:rFonts w:hint="eastAsia" w:cs="Times New Roman"/>
          <w:b/>
          <w:bCs/>
          <w:kern w:val="2"/>
          <w:szCs w:val="22"/>
        </w:rPr>
        <w:t>2000元。</w:t>
      </w:r>
    </w:p>
    <w:p w14:paraId="37DFAD55">
      <w:pPr>
        <w:pStyle w:val="2"/>
        <w:spacing w:after="0" w:line="360" w:lineRule="auto"/>
        <w:ind w:left="480" w:firstLine="0" w:firstLineChars="0"/>
        <w:rPr>
          <w:rFonts w:hint="eastAsia" w:ascii="宋体" w:hAnsi="宋体"/>
        </w:rPr>
      </w:pPr>
      <w:r>
        <w:rPr>
          <w:rFonts w:hint="eastAsia"/>
        </w:rPr>
        <w:t xml:space="preserve">  </w:t>
      </w:r>
      <w:r>
        <w:rPr>
          <w:rFonts w:hint="eastAsia" w:ascii="宋体" w:hAnsi="宋体"/>
        </w:rPr>
        <w:t>1.投标保证金：人民币贰仟元整（小写2000.00元）。谈判保证金最后缴纳时间为2025年11月</w:t>
      </w:r>
      <w:r>
        <w:rPr>
          <w:rFonts w:hint="eastAsia" w:ascii="宋体" w:hAnsi="宋体"/>
          <w:lang w:val="en-US" w:eastAsia="zh-CN"/>
        </w:rPr>
        <w:t>10</w:t>
      </w:r>
      <w:r>
        <w:rPr>
          <w:rFonts w:hint="eastAsia" w:ascii="宋体" w:hAnsi="宋体"/>
        </w:rPr>
        <w:t>日17：00之前（北京时间）。逾期缴纳的，投标将被拒绝。</w:t>
      </w:r>
    </w:p>
    <w:p w14:paraId="355581D1">
      <w:pPr>
        <w:pStyle w:val="2"/>
        <w:spacing w:after="0" w:line="360" w:lineRule="auto"/>
        <w:ind w:left="480" w:firstLine="0" w:firstLineChars="0"/>
        <w:rPr>
          <w:rFonts w:hint="eastAsia" w:ascii="宋体" w:hAnsi="宋体"/>
        </w:rPr>
      </w:pPr>
      <w:r>
        <w:rPr>
          <w:rFonts w:hint="eastAsia" w:ascii="宋体" w:hAnsi="宋体"/>
        </w:rPr>
        <w:t>2.投标保证金应从投标人银行基本账户内转出或汇出，为方便退还不出具收据。交款注明招标编号、招标项目名称及款项性质（投标保证金）。并将回单及时上传至系统内同时以微信方式转发到15098838165微信上。</w:t>
      </w:r>
    </w:p>
    <w:p w14:paraId="54CD296C">
      <w:pPr>
        <w:pStyle w:val="2"/>
        <w:spacing w:after="0" w:line="360" w:lineRule="auto"/>
        <w:ind w:left="0" w:leftChars="0" w:firstLine="480"/>
        <w:rPr>
          <w:rFonts w:hint="eastAsia" w:ascii="宋体" w:hAnsi="宋体"/>
        </w:rPr>
      </w:pPr>
      <w:r>
        <w:rPr>
          <w:rFonts w:hint="eastAsia" w:ascii="宋体" w:hAnsi="宋体"/>
        </w:rPr>
        <w:t>3.缴纳投标保证金账户信息：</w:t>
      </w:r>
    </w:p>
    <w:p w14:paraId="7FB0B3DB">
      <w:pPr>
        <w:pStyle w:val="2"/>
        <w:spacing w:after="0" w:line="360" w:lineRule="auto"/>
        <w:ind w:left="0" w:leftChars="0" w:firstLine="480"/>
        <w:rPr>
          <w:rFonts w:hint="eastAsia" w:ascii="宋体" w:hAnsi="宋体"/>
        </w:rPr>
      </w:pPr>
      <w:r>
        <w:rPr>
          <w:rFonts w:hint="eastAsia" w:ascii="宋体" w:hAnsi="宋体"/>
        </w:rPr>
        <w:t>名  称：济南鲍德冶金石灰石有限公司</w:t>
      </w:r>
    </w:p>
    <w:p w14:paraId="5258132A">
      <w:pPr>
        <w:pStyle w:val="2"/>
        <w:spacing w:after="0" w:line="360" w:lineRule="auto"/>
        <w:ind w:left="0" w:leftChars="0" w:firstLine="480"/>
        <w:rPr>
          <w:rFonts w:hint="eastAsia" w:ascii="宋体" w:hAnsi="宋体"/>
        </w:rPr>
      </w:pPr>
      <w:r>
        <w:rPr>
          <w:rFonts w:hint="eastAsia" w:ascii="宋体" w:hAnsi="宋体"/>
        </w:rPr>
        <w:t>开户行：中国农业银行股份有限公司济南埠村支行</w:t>
      </w:r>
    </w:p>
    <w:p w14:paraId="786D1D5D">
      <w:pPr>
        <w:pStyle w:val="2"/>
        <w:spacing w:after="0" w:line="360" w:lineRule="auto"/>
        <w:ind w:left="0" w:leftChars="0" w:firstLine="480"/>
        <w:rPr>
          <w:rFonts w:hint="eastAsia" w:ascii="宋体" w:hAnsi="宋体"/>
        </w:rPr>
      </w:pPr>
      <w:r>
        <w:rPr>
          <w:rFonts w:hint="eastAsia" w:ascii="宋体" w:hAnsi="宋体"/>
        </w:rPr>
        <w:t>账  号：15137301040002766</w:t>
      </w:r>
    </w:p>
    <w:p w14:paraId="1B86BBDA">
      <w:pPr>
        <w:pStyle w:val="2"/>
        <w:spacing w:after="0" w:line="360" w:lineRule="auto"/>
        <w:ind w:left="0" w:leftChars="0" w:firstLine="480"/>
        <w:rPr>
          <w:rFonts w:hint="eastAsia" w:ascii="宋体" w:hAnsi="宋体"/>
        </w:rPr>
      </w:pPr>
      <w:r>
        <w:rPr>
          <w:rFonts w:hint="eastAsia" w:ascii="宋体" w:hAnsi="宋体"/>
        </w:rPr>
        <w:t>开户行行号：103451013739</w:t>
      </w:r>
    </w:p>
    <w:p w14:paraId="7568F89C">
      <w:pPr>
        <w:pStyle w:val="2"/>
        <w:ind w:left="0" w:leftChars="0" w:firstLine="480"/>
        <w:rPr>
          <w:rFonts w:hint="eastAsia"/>
        </w:rPr>
      </w:pPr>
      <w:r>
        <w:rPr>
          <w:rFonts w:hint="eastAsia"/>
        </w:rPr>
        <w:t>4.投标保证金在合同签订后30日内原账户无息退还。</w:t>
      </w:r>
    </w:p>
    <w:p w14:paraId="255AFE84">
      <w:pPr>
        <w:pStyle w:val="2"/>
        <w:ind w:left="0" w:leftChars="0" w:firstLine="480"/>
        <w:rPr>
          <w:rFonts w:hint="eastAsia"/>
        </w:rPr>
      </w:pPr>
      <w:r>
        <w:rPr>
          <w:rFonts w:hint="eastAsia"/>
        </w:rPr>
        <w:t>5.在递交投标文件时，携带投标保证金交款回单，以备查验。</w:t>
      </w:r>
    </w:p>
    <w:p w14:paraId="1ABC8F79">
      <w:pPr>
        <w:pStyle w:val="2"/>
        <w:ind w:left="0" w:leftChars="0" w:firstLine="643"/>
        <w:rPr>
          <w:rFonts w:hint="eastAsia"/>
          <w:b/>
          <w:bCs/>
          <w:color w:val="auto"/>
          <w:sz w:val="32"/>
          <w:szCs w:val="32"/>
        </w:rPr>
      </w:pPr>
      <w:r>
        <w:rPr>
          <w:rFonts w:hint="eastAsia"/>
          <w:b/>
          <w:bCs/>
          <w:color w:val="auto"/>
          <w:sz w:val="32"/>
          <w:szCs w:val="32"/>
        </w:rPr>
        <w:t>备注信息：“带式输送机和斗提机采购项目投标保证金”。</w:t>
      </w:r>
    </w:p>
    <w:p w14:paraId="5CAA91FE">
      <w:pPr>
        <w:pStyle w:val="2"/>
        <w:adjustRightInd w:val="0"/>
        <w:snapToGrid w:val="0"/>
        <w:spacing w:after="0" w:line="360" w:lineRule="auto"/>
        <w:ind w:left="0" w:leftChars="0" w:firstLine="643"/>
        <w:rPr>
          <w:rFonts w:hint="eastAsia"/>
          <w:b/>
          <w:bCs/>
          <w:color w:val="auto"/>
          <w:sz w:val="32"/>
          <w:szCs w:val="32"/>
        </w:rPr>
      </w:pPr>
      <w:r>
        <w:rPr>
          <w:rFonts w:hint="eastAsia"/>
          <w:b/>
          <w:bCs/>
          <w:color w:val="auto"/>
          <w:sz w:val="32"/>
          <w:szCs w:val="32"/>
        </w:rPr>
        <w:t>注意事项：如不备注，造成财务退款延期或无法查证不便退回的，由投标人自行承担相关责任。</w:t>
      </w:r>
    </w:p>
    <w:p w14:paraId="7D0F32BD">
      <w:pPr>
        <w:adjustRightInd w:val="0"/>
        <w:snapToGrid w:val="0"/>
        <w:spacing w:line="360" w:lineRule="auto"/>
        <w:rPr>
          <w:rFonts w:hint="eastAsia"/>
          <w:b/>
          <w:bCs/>
        </w:rPr>
      </w:pPr>
      <w:r>
        <w:rPr>
          <w:rFonts w:hint="eastAsia"/>
          <w:b/>
          <w:bCs/>
        </w:rPr>
        <w:t>八、谈判文件的获取方式</w:t>
      </w:r>
    </w:p>
    <w:p w14:paraId="17F555EA">
      <w:pPr>
        <w:adjustRightInd w:val="0"/>
        <w:snapToGrid w:val="0"/>
        <w:spacing w:line="360" w:lineRule="auto"/>
        <w:ind w:firstLine="480" w:firstLineChars="200"/>
      </w:pPr>
      <w:r>
        <w:rPr>
          <w:rFonts w:hint="eastAsia"/>
        </w:rPr>
        <w:t>获取方式：凡有意参加的潜在供应商，在公告期内登陆：济钢集团有限公司阳光购销平台</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，注册用户成功后，须修改初始密码，重新登录后报名，报名成功后即可下载谈判文件</w:t>
      </w:r>
      <w:r>
        <w:t xml:space="preserve">； </w:t>
      </w:r>
    </w:p>
    <w:p w14:paraId="115BFDBB">
      <w:pPr>
        <w:adjustRightInd w:val="0"/>
        <w:snapToGrid w:val="0"/>
        <w:spacing w:line="360" w:lineRule="auto"/>
        <w:rPr>
          <w:rFonts w:hint="eastAsia"/>
          <w:b/>
          <w:bCs/>
        </w:rPr>
      </w:pPr>
      <w:r>
        <w:rPr>
          <w:rFonts w:hint="eastAsia"/>
          <w:b/>
          <w:bCs/>
        </w:rPr>
        <w:t>九、资格审查</w:t>
      </w:r>
    </w:p>
    <w:p w14:paraId="1C2F2EF7">
      <w:pPr>
        <w:adjustRightInd w:val="0"/>
        <w:snapToGrid w:val="0"/>
        <w:spacing w:line="360" w:lineRule="auto"/>
        <w:ind w:firstLine="480" w:firstLineChars="200"/>
      </w:pPr>
      <w:r>
        <w:rPr>
          <w:rFonts w:hint="eastAsia"/>
        </w:rPr>
        <w:t>资格后审，不接受联合体。</w:t>
      </w:r>
    </w:p>
    <w:p w14:paraId="086D8723">
      <w:pPr>
        <w:pStyle w:val="2"/>
        <w:adjustRightInd w:val="0"/>
        <w:snapToGrid w:val="0"/>
        <w:spacing w:after="0" w:line="360" w:lineRule="auto"/>
        <w:ind w:left="0" w:leftChars="0" w:firstLine="0" w:firstLineChars="0"/>
        <w:rPr>
          <w:rFonts w:hint="eastAsia" w:ascii="宋体" w:hAnsi="宋体"/>
          <w:b/>
          <w:bCs/>
        </w:rPr>
      </w:pPr>
      <w:r>
        <w:rPr>
          <w:rFonts w:hint="eastAsia" w:ascii="宋体" w:hAnsi="宋体"/>
          <w:b/>
          <w:bCs/>
        </w:rPr>
        <w:t>十、谈判文件的递交</w:t>
      </w:r>
    </w:p>
    <w:p w14:paraId="7E6FAE78">
      <w:pPr>
        <w:pStyle w:val="2"/>
        <w:adjustRightInd w:val="0"/>
        <w:snapToGrid w:val="0"/>
        <w:spacing w:after="0" w:line="360" w:lineRule="auto"/>
        <w:ind w:left="480" w:firstLine="0" w:firstLineChars="0"/>
        <w:rPr>
          <w:rFonts w:hint="eastAsia" w:ascii="宋体" w:hAnsi="宋体" w:cs="宋体"/>
        </w:rPr>
      </w:pPr>
      <w:r>
        <w:rPr>
          <w:rFonts w:hint="eastAsia" w:ascii="宋体" w:hAnsi="宋体" w:cs="宋体"/>
        </w:rPr>
        <w:t>1、谈判文件提交截止时间：纸质文件递交，谈判开始前送达到济南鲍德冶金石灰石有限公司谈判室（北京时间）。</w:t>
      </w:r>
    </w:p>
    <w:p w14:paraId="5E51EC50">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2、谈判时间：</w:t>
      </w:r>
      <w:r>
        <w:rPr>
          <w:rFonts w:hint="eastAsia" w:ascii="宋体" w:hAnsi="宋体" w:cs="宋体"/>
          <w:lang w:val="en-US" w:eastAsia="zh-CN"/>
        </w:rPr>
        <w:t>2025年11月11</w:t>
      </w:r>
      <w:bookmarkStart w:id="4" w:name="_GoBack"/>
      <w:bookmarkEnd w:id="4"/>
      <w:r>
        <w:rPr>
          <w:rFonts w:hint="eastAsia" w:ascii="宋体" w:hAnsi="宋体" w:cs="宋体"/>
          <w:lang w:val="en-US" w:eastAsia="zh-CN"/>
        </w:rPr>
        <w:t>日上午9:30分</w:t>
      </w:r>
      <w:r>
        <w:rPr>
          <w:rFonts w:hint="eastAsia" w:ascii="宋体" w:hAnsi="宋体" w:cs="宋体"/>
        </w:rPr>
        <w:t>。</w:t>
      </w:r>
    </w:p>
    <w:p w14:paraId="5A68124C">
      <w:pPr>
        <w:pStyle w:val="2"/>
        <w:adjustRightInd w:val="0"/>
        <w:snapToGrid w:val="0"/>
        <w:spacing w:after="0" w:line="360" w:lineRule="auto"/>
        <w:ind w:left="480" w:firstLine="0" w:firstLineChars="0"/>
        <w:rPr>
          <w:rFonts w:hint="eastAsia" w:ascii="宋体" w:hAnsi="宋体" w:cs="宋体"/>
        </w:rPr>
      </w:pPr>
      <w:r>
        <w:rPr>
          <w:rFonts w:hint="eastAsia" w:ascii="宋体" w:hAnsi="宋体" w:cs="宋体"/>
        </w:rPr>
        <w:t>3、逾期送达的、未送达指定地点的或者不按照竞争性谈判文件要求密封的谈判文件，谈判人将予以拒收。</w:t>
      </w:r>
    </w:p>
    <w:p w14:paraId="693E4CAE">
      <w:pPr>
        <w:pStyle w:val="2"/>
        <w:adjustRightInd w:val="0"/>
        <w:snapToGrid w:val="0"/>
        <w:spacing w:after="0" w:line="360" w:lineRule="auto"/>
        <w:ind w:left="0" w:leftChars="0" w:firstLine="0" w:firstLineChars="0"/>
        <w:rPr>
          <w:rFonts w:hint="eastAsia" w:ascii="宋体" w:hAnsi="宋体" w:cs="宋体"/>
        </w:rPr>
      </w:pPr>
      <w:r>
        <w:rPr>
          <w:rFonts w:hint="eastAsia" w:ascii="宋体" w:hAnsi="宋体" w:cs="宋体"/>
        </w:rPr>
        <w:t>十一、安全要求</w:t>
      </w:r>
    </w:p>
    <w:p w14:paraId="1F20B5D2">
      <w:pPr>
        <w:pStyle w:val="2"/>
        <w:adjustRightInd w:val="0"/>
        <w:snapToGrid w:val="0"/>
        <w:spacing w:after="0" w:line="360" w:lineRule="auto"/>
        <w:ind w:leftChars="175" w:firstLine="480"/>
        <w:rPr>
          <w:rFonts w:hint="eastAsia" w:ascii="宋体" w:hAnsi="宋体" w:cs="宋体"/>
        </w:rPr>
      </w:pPr>
      <w:r>
        <w:rPr>
          <w:rFonts w:hint="eastAsia" w:ascii="宋体" w:hAnsi="宋体" w:cs="宋体"/>
        </w:rPr>
        <w:t>参加谈判的人员在济南鲍德冶金石灰石有限公司的一切活动,必须遵守济南鲍德冶金石灰石有限公司的安全规定。需要现场踏勘时,必须遵守安全管理规定,服从现场人员指挥。</w:t>
      </w:r>
    </w:p>
    <w:p w14:paraId="2CC29283">
      <w:pPr>
        <w:pStyle w:val="2"/>
        <w:adjustRightInd w:val="0"/>
        <w:snapToGrid w:val="0"/>
        <w:spacing w:after="0" w:line="360" w:lineRule="auto"/>
        <w:ind w:left="0" w:leftChars="0" w:firstLine="0" w:firstLineChars="0"/>
        <w:rPr>
          <w:rFonts w:hint="eastAsia" w:ascii="宋体" w:hAnsi="宋体" w:cs="宋体"/>
          <w:b/>
          <w:bCs/>
        </w:rPr>
      </w:pPr>
      <w:r>
        <w:rPr>
          <w:rFonts w:hint="eastAsia" w:ascii="宋体" w:hAnsi="宋体" w:cs="宋体"/>
          <w:b/>
          <w:bCs/>
        </w:rPr>
        <w:t>十二、公告中的内容和要求以最终的谈判文件为准。</w:t>
      </w:r>
    </w:p>
    <w:p w14:paraId="5F798455">
      <w:pPr>
        <w:pStyle w:val="2"/>
        <w:adjustRightInd w:val="0"/>
        <w:snapToGrid w:val="0"/>
        <w:spacing w:after="0" w:line="360" w:lineRule="auto"/>
        <w:ind w:left="0" w:leftChars="0" w:firstLine="0" w:firstLineChars="0"/>
        <w:rPr>
          <w:rFonts w:hint="eastAsia" w:ascii="宋体" w:hAnsi="宋体" w:cs="宋体"/>
        </w:rPr>
      </w:pPr>
      <w:r>
        <w:rPr>
          <w:rFonts w:hint="eastAsia" w:ascii="宋体" w:hAnsi="宋体" w:cs="宋体"/>
        </w:rPr>
        <w:t xml:space="preserve">十三、联系方式 </w:t>
      </w:r>
    </w:p>
    <w:p w14:paraId="57DAA724">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1、谈判联系人：郑女士，联系电话：83719629  15098838165</w:t>
      </w:r>
    </w:p>
    <w:p w14:paraId="3CFC81B1">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2、业务(技术)联系人： 徐先生  联系电话：18866888316</w:t>
      </w:r>
    </w:p>
    <w:p w14:paraId="6F45EF22">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 xml:space="preserve">                    </w:t>
      </w:r>
    </w:p>
    <w:p w14:paraId="144B91DB">
      <w:pPr>
        <w:widowControl w:val="0"/>
        <w:adjustRightInd w:val="0"/>
        <w:snapToGrid w:val="0"/>
        <w:spacing w:line="360" w:lineRule="auto"/>
        <w:ind w:firstLine="4320" w:firstLineChars="1800"/>
        <w:rPr>
          <w:rFonts w:cs="Times New Roman"/>
          <w:kern w:val="2"/>
          <w:szCs w:val="22"/>
        </w:rPr>
      </w:pPr>
      <w:r>
        <w:rPr>
          <w:rFonts w:hint="eastAsia"/>
        </w:rPr>
        <w:t>济南鲍德冶金石灰石有限公</w:t>
      </w:r>
      <w:r>
        <w:rPr>
          <w:rFonts w:hint="eastAsia" w:cs="Times New Roman"/>
          <w:kern w:val="2"/>
          <w:szCs w:val="22"/>
        </w:rPr>
        <w:t>司</w:t>
      </w:r>
    </w:p>
    <w:p w14:paraId="099921BC">
      <w:pPr>
        <w:widowControl w:val="0"/>
        <w:adjustRightInd w:val="0"/>
        <w:snapToGrid w:val="0"/>
        <w:spacing w:line="360" w:lineRule="auto"/>
        <w:ind w:firstLine="4320" w:firstLineChars="1800"/>
        <w:rPr>
          <w:rFonts w:hint="eastAsia"/>
        </w:rPr>
      </w:pPr>
      <w:r>
        <w:rPr>
          <w:rFonts w:hint="eastAsia"/>
        </w:rPr>
        <w:t>2025年</w:t>
      </w:r>
      <w:r>
        <w:rPr>
          <w:rFonts w:hint="eastAsia"/>
          <w:lang w:val="en-US" w:eastAsia="zh-CN"/>
        </w:rPr>
        <w:t>11</w:t>
      </w:r>
      <w:r>
        <w:rPr>
          <w:rFonts w:hint="eastAsia"/>
        </w:rPr>
        <w:t>月3日</w:t>
      </w:r>
    </w:p>
    <w:p w14:paraId="33DFEC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64E7">
    <w:pPr>
      <w:pStyle w:val="4"/>
      <w:jc w:val="center"/>
    </w:pPr>
    <w:r>
      <w:fldChar w:fldCharType="begin"/>
    </w:r>
    <w:r>
      <w:rPr>
        <w:rStyle w:val="8"/>
      </w:rPr>
      <w:instrText xml:space="preserve"> PAGE </w:instrText>
    </w:r>
    <w:r>
      <w:fldChar w:fldCharType="separate"/>
    </w:r>
    <w:r>
      <w:rPr>
        <w:rStyle w:val="8"/>
      </w:rPr>
      <w:t>- 3 -</w:t>
    </w:r>
    <w:r>
      <w:fldChar w:fldCharType="end"/>
    </w:r>
  </w:p>
  <w:p w14:paraId="701ECBB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DD7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44D25"/>
    <w:rsid w:val="02931E2A"/>
    <w:rsid w:val="0C0C494E"/>
    <w:rsid w:val="79C4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4">
    <w:name w:val="footer"/>
    <w:basedOn w:val="1"/>
    <w:unhideWhenUsed/>
    <w:qFormat/>
    <w:uiPriority w:val="99"/>
    <w:pPr>
      <w:tabs>
        <w:tab w:val="center" w:pos="4153"/>
        <w:tab w:val="right" w:pos="8306"/>
      </w:tabs>
      <w:snapToGrid w:val="0"/>
      <w:jc w:val="left"/>
    </w:pPr>
    <w:rPr>
      <w:rFonts w:ascii="Calibri" w:hAnsi="Calibri"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character" w:styleId="8">
    <w:name w:val="page number"/>
    <w:uiPriority w:val="0"/>
    <w:rPr>
      <w:rFonts w:ascii="Times New Roman" w:hAnsi="Times New Roman" w:eastAsia="宋体" w:cs="Times New Roman"/>
    </w:rPr>
  </w:style>
  <w:style w:type="paragraph" w:customStyle="1" w:styleId="9">
    <w:name w:val="p0"/>
    <w:basedOn w:val="1"/>
    <w:qFormat/>
    <w:uiPriority w:val="99"/>
    <w:pPr>
      <w:jc w:val="both"/>
    </w:pPr>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2168</Words>
  <Characters>2554</Characters>
  <Lines>0</Lines>
  <Paragraphs>0</Paragraphs>
  <TotalTime>0</TotalTime>
  <ScaleCrop>false</ScaleCrop>
  <LinksUpToDate>false</LinksUpToDate>
  <CharactersWithSpaces>2607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2025-11-03T05:38:00Z</dcterms:created>
  <dc:creator>换个名字吧</dc:creator>
  <cp:lastModifiedBy>换个名字吧</cp:lastModifiedBy>
  <dcterms:modified xsi:type="dcterms:W3CDTF">2025-11-05T07:36:08Z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7B225760091D4907A3288893D847C051_11</vt:lpwstr>
  </property>
  <property fmtid="{D5CDD505-2E9C-101B-9397-08002B2CF9AE}" pid="4" name="KSOTemplateDocerSaveRecord">
    <vt:lpwstr>eyJoZGlkIjoiNjU1ZDBhZGYzNGE2NTBkYzJjZDhiNGY0OWI1NmQ1ZmQiLCJ1c2VySWQiOiI3MzAxOTgwNzUifQ==</vt:lpwstr>
  </property>
</Properties>
</file>